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p>
    <w:p w14:paraId="409DEC08" w14:textId="3FBE0772" w:rsidR="00C84EE8" w:rsidRPr="007728E8" w:rsidRDefault="00C84EE8" w:rsidP="00C84EE8">
      <w:pPr>
        <w:pStyle w:val="CRCoverPage"/>
        <w:tabs>
          <w:tab w:val="right" w:pos="9639"/>
        </w:tabs>
        <w:spacing w:after="0"/>
        <w:rPr>
          <w:b/>
          <w:i/>
          <w:noProof/>
          <w:sz w:val="28"/>
        </w:rPr>
      </w:pPr>
      <w:r>
        <w:rPr>
          <w:b/>
          <w:noProof/>
          <w:sz w:val="24"/>
        </w:rPr>
        <w:t>3GPP TSG-RAN WG2 NR Ad Hoc #2</w:t>
      </w:r>
      <w:r>
        <w:rPr>
          <w:b/>
          <w:i/>
          <w:noProof/>
          <w:sz w:val="28"/>
        </w:rPr>
        <w:tab/>
        <w:t xml:space="preserve">       </w:t>
      </w:r>
      <w:r w:rsidRPr="0019353C">
        <w:rPr>
          <w:b/>
          <w:noProof/>
          <w:sz w:val="24"/>
          <w:szCs w:val="24"/>
        </w:rPr>
        <w:t>R2-17</w:t>
      </w:r>
      <w:r w:rsidR="00A41EFE">
        <w:rPr>
          <w:b/>
          <w:noProof/>
          <w:sz w:val="24"/>
          <w:szCs w:val="24"/>
        </w:rPr>
        <w:t>07455</w:t>
      </w:r>
    </w:p>
    <w:p w14:paraId="265A99BC" w14:textId="6DBEA81D" w:rsidR="00785D5A" w:rsidRDefault="00C84EE8" w:rsidP="00C84EE8">
      <w:pPr>
        <w:pStyle w:val="CRCoverPage"/>
        <w:rPr>
          <w:b/>
          <w:sz w:val="24"/>
          <w:szCs w:val="24"/>
        </w:rPr>
      </w:pPr>
      <w:r>
        <w:rPr>
          <w:b/>
          <w:sz w:val="24"/>
          <w:szCs w:val="24"/>
        </w:rPr>
        <w:t>Qingdao</w:t>
      </w:r>
      <w:r w:rsidRPr="00B60132">
        <w:rPr>
          <w:b/>
          <w:sz w:val="24"/>
          <w:szCs w:val="24"/>
        </w:rPr>
        <w:t xml:space="preserve">, </w:t>
      </w:r>
      <w:r>
        <w:rPr>
          <w:b/>
          <w:sz w:val="24"/>
          <w:szCs w:val="24"/>
        </w:rPr>
        <w:t>China, 27</w:t>
      </w:r>
      <w:r>
        <w:rPr>
          <w:b/>
          <w:sz w:val="24"/>
          <w:szCs w:val="24"/>
          <w:vertAlign w:val="superscript"/>
        </w:rPr>
        <w:t>th</w:t>
      </w:r>
      <w:r>
        <w:rPr>
          <w:b/>
          <w:sz w:val="24"/>
          <w:szCs w:val="24"/>
        </w:rPr>
        <w:t xml:space="preserve"> - 29</w:t>
      </w:r>
      <w:r w:rsidRPr="0033003F">
        <w:rPr>
          <w:b/>
          <w:sz w:val="24"/>
          <w:szCs w:val="24"/>
          <w:vertAlign w:val="superscript"/>
        </w:rPr>
        <w:t>th</w:t>
      </w:r>
      <w:r>
        <w:rPr>
          <w:b/>
          <w:sz w:val="24"/>
          <w:szCs w:val="24"/>
        </w:rPr>
        <w:t xml:space="preserve"> June,</w:t>
      </w:r>
      <w:r w:rsidRPr="009E4773">
        <w:rPr>
          <w:b/>
          <w:sz w:val="24"/>
          <w:szCs w:val="24"/>
        </w:rPr>
        <w:t xml:space="preserve"> </w:t>
      </w:r>
      <w:r>
        <w:rPr>
          <w:b/>
          <w:sz w:val="24"/>
          <w:szCs w:val="24"/>
        </w:rPr>
        <w:t>2017</w:t>
      </w:r>
    </w:p>
    <w:p w14:paraId="46445D84" w14:textId="77777777" w:rsidR="00C84EE8" w:rsidRPr="00C84EE8" w:rsidRDefault="00C84EE8" w:rsidP="00C84EE8">
      <w:pPr>
        <w:pStyle w:val="CRCoverPage"/>
        <w:rPr>
          <w:b/>
          <w:sz w:val="24"/>
          <w:szCs w:val="24"/>
        </w:rPr>
      </w:pPr>
    </w:p>
    <w:p w14:paraId="7CC88B53" w14:textId="15556C48" w:rsidR="00156A1A" w:rsidRPr="009A6513" w:rsidRDefault="001B28F8" w:rsidP="0000505D">
      <w:pPr>
        <w:pStyle w:val="CRCoverPage"/>
        <w:ind w:left="1988" w:hanging="1988"/>
        <w:rPr>
          <w:b/>
          <w:noProof/>
          <w:sz w:val="24"/>
        </w:rPr>
      </w:pPr>
      <w:r>
        <w:rPr>
          <w:b/>
          <w:noProof/>
          <w:sz w:val="24"/>
        </w:rPr>
        <w:t>Agenda Item:</w:t>
      </w:r>
      <w:r>
        <w:rPr>
          <w:b/>
          <w:noProof/>
          <w:sz w:val="24"/>
        </w:rPr>
        <w:tab/>
      </w:r>
      <w:r w:rsidR="00C70011">
        <w:rPr>
          <w:b/>
          <w:noProof/>
          <w:sz w:val="24"/>
        </w:rPr>
        <w:t>10.2.2.5</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1BEE885A"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E052C4">
        <w:rPr>
          <w:b/>
          <w:noProof/>
          <w:sz w:val="24"/>
        </w:rPr>
        <w:t>BSR e</w:t>
      </w:r>
      <w:r w:rsidR="00BF2BE1">
        <w:rPr>
          <w:b/>
          <w:noProof/>
          <w:sz w:val="24"/>
        </w:rPr>
        <w:t>nhancement</w:t>
      </w:r>
      <w:r w:rsidR="007A1B5C">
        <w:rPr>
          <w:b/>
          <w:noProof/>
          <w:sz w:val="24"/>
        </w:rPr>
        <w:t>s</w:t>
      </w:r>
      <w:r w:rsidR="00BF2BE1">
        <w:rPr>
          <w:b/>
          <w:noProof/>
          <w:sz w:val="24"/>
        </w:rPr>
        <w:t xml:space="preserve"> </w:t>
      </w:r>
      <w:r w:rsidR="00811505">
        <w:rPr>
          <w:b/>
          <w:noProof/>
          <w:sz w:val="24"/>
        </w:rPr>
        <w:t xml:space="preserve">for </w:t>
      </w:r>
      <w:r w:rsidR="00BF6A07">
        <w:rPr>
          <w:b/>
          <w:noProof/>
          <w:sz w:val="24"/>
        </w:rPr>
        <w:t>pre</w:t>
      </w:r>
      <w:r w:rsidR="001A6CB0">
        <w:rPr>
          <w:b/>
          <w:noProof/>
          <w:sz w:val="24"/>
        </w:rPr>
        <w:t>-</w:t>
      </w:r>
      <w:r w:rsidR="00BF6A07">
        <w:rPr>
          <w:b/>
          <w:noProof/>
          <w:sz w:val="24"/>
        </w:rPr>
        <w:t>proc</w:t>
      </w:r>
      <w:r w:rsidR="007A1B5C">
        <w:rPr>
          <w:b/>
          <w:noProof/>
          <w:sz w:val="24"/>
        </w:rPr>
        <w:t xml:space="preserve">essing </w:t>
      </w:r>
    </w:p>
    <w:bookmarkEnd w:id="0"/>
    <w:bookmarkEnd w:id="1"/>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349D00F4" w14:textId="5E9A6237" w:rsidR="00BF2BE1" w:rsidRPr="00B020BD" w:rsidRDefault="003C1CA3" w:rsidP="00B020BD">
      <w:pPr>
        <w:pStyle w:val="Heading1"/>
        <w:rPr>
          <w:lang w:val="en-US" w:eastAsia="ko-KR"/>
        </w:rPr>
      </w:pPr>
      <w:r>
        <w:rPr>
          <w:lang w:val="en-US" w:eastAsia="ko-KR"/>
        </w:rPr>
        <w:t xml:space="preserve">1 </w:t>
      </w:r>
      <w:r w:rsidR="00156A1A" w:rsidRPr="009D35B3">
        <w:rPr>
          <w:lang w:val="en-US" w:eastAsia="ko-KR"/>
        </w:rPr>
        <w:t>Introduction</w:t>
      </w:r>
    </w:p>
    <w:p w14:paraId="550A517F" w14:textId="4F08BBE5" w:rsidR="00BF2BE1" w:rsidRDefault="00B761A7" w:rsidP="008135C8">
      <w:pPr>
        <w:pStyle w:val="Doc-text2"/>
        <w:tabs>
          <w:tab w:val="left" w:pos="340"/>
        </w:tabs>
        <w:ind w:left="0" w:firstLine="0"/>
        <w:jc w:val="both"/>
      </w:pPr>
      <w:r>
        <w:t xml:space="preserve">A principal difference between NR and LTE user plane protocol stacks is that NR supports pre-processing of user plane protocol headers to deal with the much higher data rate and shorter processing time </w:t>
      </w:r>
      <w:r w:rsidR="00620F82">
        <w:t xml:space="preserve">requirements. In </w:t>
      </w:r>
      <w:r w:rsidR="00620F82">
        <w:fldChar w:fldCharType="begin"/>
      </w:r>
      <w:r w:rsidR="00620F82">
        <w:instrText xml:space="preserve"> REF _Ref485751627 \r \h </w:instrText>
      </w:r>
      <w:r w:rsidR="00620F82">
        <w:fldChar w:fldCharType="separate"/>
      </w:r>
      <w:r w:rsidR="00620F82">
        <w:t>[1]</w:t>
      </w:r>
      <w:r w:rsidR="00620F82">
        <w:fldChar w:fldCharType="end"/>
      </w:r>
      <w:r>
        <w:t xml:space="preserve">, we </w:t>
      </w:r>
      <w:r w:rsidR="00620F82">
        <w:t xml:space="preserve">have </w:t>
      </w:r>
      <w:r>
        <w:t>examine</w:t>
      </w:r>
      <w:r w:rsidR="00620F82">
        <w:t>d</w:t>
      </w:r>
      <w:r>
        <w:t xml:space="preserve"> the impact of pre-processing on the Buffer Status Reporting (BSR) mechanism</w:t>
      </w:r>
      <w:r w:rsidR="00620F82">
        <w:t xml:space="preserve">. In this document, we clarify our proposals in </w:t>
      </w:r>
      <w:r w:rsidR="00620F82">
        <w:fldChar w:fldCharType="begin"/>
      </w:r>
      <w:r w:rsidR="00620F82">
        <w:instrText xml:space="preserve"> REF _Ref485751627 \r \h </w:instrText>
      </w:r>
      <w:r w:rsidR="00620F82">
        <w:fldChar w:fldCharType="separate"/>
      </w:r>
      <w:r w:rsidR="00620F82">
        <w:t>[1]</w:t>
      </w:r>
      <w:r w:rsidR="00620F82">
        <w:fldChar w:fldCharType="end"/>
      </w:r>
      <w:r w:rsidR="00620F82">
        <w:t xml:space="preserve"> by providing some additional discussion and motivation.</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0FC8A953" w14:textId="53120AD4" w:rsidR="00B761A7" w:rsidRDefault="00B761A7" w:rsidP="00B761A7">
      <w:pPr>
        <w:rPr>
          <w:rFonts w:ascii="Arial" w:eastAsia="MS Mincho" w:hAnsi="Arial"/>
          <w:szCs w:val="24"/>
          <w:lang w:val="en-US" w:eastAsia="zh-TW"/>
        </w:rPr>
      </w:pPr>
      <w:r w:rsidRPr="00B761A7">
        <w:rPr>
          <w:rFonts w:ascii="Arial" w:eastAsia="MS Mincho" w:hAnsi="Arial"/>
          <w:szCs w:val="24"/>
          <w:lang w:val="en-US" w:eastAsia="zh-TW"/>
        </w:rPr>
        <w:t xml:space="preserve">In </w:t>
      </w:r>
      <w:r>
        <w:rPr>
          <w:rFonts w:ascii="Arial" w:eastAsia="MS Mincho" w:hAnsi="Arial"/>
          <w:szCs w:val="24"/>
          <w:lang w:val="en-US" w:eastAsia="zh-TW"/>
        </w:rPr>
        <w:t xml:space="preserve">LTE, BSR is used by the UE to inform the eNB of the amount of data available for transmission from one or more logical channels. In LTE only the PDCP header can be pre-processed, and the RLC and MAC protocol headers are computed in real-time in LTE, based on the uplink grant. It is expected that the UE is capable of computing all these headers in time before an uplink transmission is due. </w:t>
      </w:r>
    </w:p>
    <w:p w14:paraId="58C1416B" w14:textId="07CAA546" w:rsidR="00B761A7" w:rsidRDefault="00B761A7" w:rsidP="00B761A7">
      <w:pPr>
        <w:rPr>
          <w:rFonts w:ascii="Arial" w:eastAsia="MS Mincho" w:hAnsi="Arial"/>
          <w:szCs w:val="24"/>
          <w:lang w:val="en-US" w:eastAsia="zh-TW"/>
        </w:rPr>
      </w:pPr>
      <w:r>
        <w:rPr>
          <w:rFonts w:ascii="Arial" w:eastAsia="MS Mincho" w:hAnsi="Arial"/>
          <w:szCs w:val="24"/>
          <w:lang w:val="en-US" w:eastAsia="zh-TW"/>
        </w:rPr>
        <w:t>In the case of NR, the UE may have completely pre-processed only part of the data available for transmission. If the LTE BSR approach is used, then the UE will report the totality of data available for transmission (including pre-processed and unprocessed data). If the gNB provides a grant equal to the requested BSR, then it is possible that the UE will not be able to process headers (for the unprocessed data) in time to meet the uplink transmission deadline</w:t>
      </w:r>
      <w:r w:rsidR="00355284">
        <w:rPr>
          <w:rFonts w:ascii="Arial" w:eastAsia="MS Mincho" w:hAnsi="Arial"/>
          <w:szCs w:val="24"/>
          <w:lang w:val="en-US" w:eastAsia="zh-TW"/>
        </w:rPr>
        <w:t>.</w:t>
      </w:r>
      <w:r w:rsidR="00267A16">
        <w:rPr>
          <w:rFonts w:ascii="Arial" w:eastAsia="MS Mincho" w:hAnsi="Arial"/>
          <w:szCs w:val="24"/>
          <w:lang w:val="en-US" w:eastAsia="zh-TW"/>
        </w:rPr>
        <w:t xml:space="preserve"> By filling the UL grant with padding, the UE not only wastes radio resources but also potentially </w:t>
      </w:r>
      <w:bookmarkStart w:id="2" w:name="_GoBack"/>
      <w:bookmarkEnd w:id="2"/>
      <w:r w:rsidR="00267A16">
        <w:rPr>
          <w:rFonts w:ascii="Arial" w:eastAsia="MS Mincho" w:hAnsi="Arial"/>
          <w:szCs w:val="24"/>
          <w:lang w:val="en-US" w:eastAsia="zh-TW"/>
        </w:rPr>
        <w:t>sends the wrong signal to the gNB that its buffer is empty.</w:t>
      </w:r>
      <w:r w:rsidR="00355284">
        <w:rPr>
          <w:rFonts w:ascii="Arial" w:eastAsia="MS Mincho" w:hAnsi="Arial"/>
          <w:szCs w:val="24"/>
          <w:lang w:val="en-US" w:eastAsia="zh-TW"/>
        </w:rPr>
        <w:t xml:space="preserve"> In order to</w:t>
      </w:r>
      <w:r>
        <w:rPr>
          <w:rFonts w:ascii="Arial" w:eastAsia="MS Mincho" w:hAnsi="Arial"/>
          <w:szCs w:val="24"/>
          <w:lang w:val="en-US" w:eastAsia="zh-TW"/>
        </w:rPr>
        <w:t xml:space="preserve"> avoid this kind of over-allocation</w:t>
      </w:r>
      <w:r w:rsidR="00355284">
        <w:rPr>
          <w:rFonts w:ascii="Arial" w:eastAsia="MS Mincho" w:hAnsi="Arial"/>
          <w:szCs w:val="24"/>
          <w:lang w:val="en-US" w:eastAsia="zh-TW"/>
        </w:rPr>
        <w:t>, the UE should be able to</w:t>
      </w:r>
      <w:r>
        <w:rPr>
          <w:rFonts w:ascii="Arial" w:eastAsia="MS Mincho" w:hAnsi="Arial"/>
          <w:szCs w:val="24"/>
          <w:lang w:val="en-US" w:eastAsia="zh-TW"/>
        </w:rPr>
        <w:t xml:space="preserve"> indicate the amount of preprocessed data available for transmission in the BSR.</w:t>
      </w:r>
    </w:p>
    <w:p w14:paraId="007ACF27" w14:textId="2FEF2E8F" w:rsidR="00B761A7" w:rsidRPr="00620F82" w:rsidRDefault="00B761A7" w:rsidP="00B761A7">
      <w:pPr>
        <w:rPr>
          <w:rFonts w:ascii="Arial" w:eastAsia="MS Mincho" w:hAnsi="Arial"/>
          <w:b/>
          <w:szCs w:val="24"/>
          <w:lang w:val="en-US" w:eastAsia="zh-TW"/>
        </w:rPr>
      </w:pPr>
      <w:r w:rsidRPr="00620F82">
        <w:rPr>
          <w:rFonts w:ascii="Arial" w:eastAsia="MS Mincho" w:hAnsi="Arial"/>
          <w:b/>
          <w:szCs w:val="24"/>
          <w:lang w:val="en-US" w:eastAsia="zh-TW"/>
        </w:rPr>
        <w:t>Observation 1: The problem of over-allocation of UL grants can be solved if the BSR contains the amount of pre-processed data that is available for transmission.</w:t>
      </w:r>
    </w:p>
    <w:p w14:paraId="1B0FE415" w14:textId="3C947877" w:rsidR="00B761A7" w:rsidRDefault="00B761A7" w:rsidP="00B761A7">
      <w:pPr>
        <w:rPr>
          <w:rFonts w:ascii="Arial" w:eastAsia="MS Mincho" w:hAnsi="Arial"/>
          <w:szCs w:val="24"/>
          <w:lang w:val="en-US" w:eastAsia="zh-TW"/>
        </w:rPr>
      </w:pPr>
      <w:r>
        <w:rPr>
          <w:rFonts w:ascii="Arial" w:eastAsia="MS Mincho" w:hAnsi="Arial"/>
          <w:szCs w:val="24"/>
          <w:lang w:val="en-US" w:eastAsia="zh-TW"/>
        </w:rPr>
        <w:t>However, reporting only the amount of pre-processed data also can lead to under-reporting of the data that is available for transmission at the actual instant of transmission. Since there is some delay between the time the BSR is received, and the time the UE needs to transmit, it is expected that the UE will be able to pre-process additional data during this time. A straightforward solution to this problem would be let the UE report the amount of pre-processed data as well as the unprocessed data to the gNB. The gNB scheduler can then estimate the amount of data that would be available (e.g., based on UE category) and schedule accordingly. Accordingly, we propose the following.</w:t>
      </w:r>
    </w:p>
    <w:p w14:paraId="332F6723" w14:textId="0A455505" w:rsidR="00B761A7" w:rsidRPr="00620F82" w:rsidRDefault="00B761A7" w:rsidP="00B761A7">
      <w:pPr>
        <w:rPr>
          <w:rFonts w:ascii="Arial" w:eastAsia="MS Mincho" w:hAnsi="Arial"/>
          <w:b/>
          <w:szCs w:val="24"/>
          <w:lang w:val="en-US" w:eastAsia="zh-TW"/>
        </w:rPr>
      </w:pPr>
      <w:r w:rsidRPr="00620F82">
        <w:rPr>
          <w:rFonts w:ascii="Arial" w:eastAsia="MS Mincho" w:hAnsi="Arial"/>
          <w:b/>
          <w:szCs w:val="24"/>
          <w:lang w:val="en-US" w:eastAsia="zh-TW"/>
        </w:rPr>
        <w:t>Proposal 1: NR BSR should allow the UE to report the amount of both pre-processed and unprocessed data available for transmission.</w:t>
      </w:r>
    </w:p>
    <w:p w14:paraId="34FFC1BC" w14:textId="3DDF7374" w:rsidR="00620F82" w:rsidRDefault="00620F82" w:rsidP="00B761A7">
      <w:pPr>
        <w:rPr>
          <w:rFonts w:ascii="Arial" w:eastAsia="MS Mincho" w:hAnsi="Arial"/>
          <w:szCs w:val="24"/>
          <w:lang w:val="en-US" w:eastAsia="zh-TW"/>
        </w:rPr>
      </w:pPr>
      <w:r>
        <w:rPr>
          <w:rFonts w:ascii="Arial" w:eastAsia="MS Mincho" w:hAnsi="Arial"/>
          <w:szCs w:val="24"/>
          <w:lang w:val="en-US" w:eastAsia="zh-TW"/>
        </w:rPr>
        <w:t xml:space="preserve">In our view, knowledge of the full buffer status (processed + unprocessed data) is important for the gNB. For example, in low data scenarios, it may be sufficient to configure reporting of just the full buffer (like in LTE). Also, the full buffer status can be used not only for scheduling purposes but to inform other gNB decisions (e.g., deploying CA or DC). For these reasons, we think that full buffer status reporting should be mandatory, and the network can configure enhanced BSR reporting </w:t>
      </w:r>
      <w:r w:rsidR="00355284">
        <w:rPr>
          <w:rFonts w:ascii="Arial" w:eastAsia="MS Mincho" w:hAnsi="Arial"/>
          <w:szCs w:val="24"/>
          <w:lang w:val="en-US" w:eastAsia="zh-TW"/>
        </w:rPr>
        <w:t xml:space="preserve">(Proposal 1) </w:t>
      </w:r>
      <w:r>
        <w:rPr>
          <w:rFonts w:ascii="Arial" w:eastAsia="MS Mincho" w:hAnsi="Arial"/>
          <w:szCs w:val="24"/>
          <w:lang w:val="en-US" w:eastAsia="zh-TW"/>
        </w:rPr>
        <w:t>as needed.</w:t>
      </w:r>
    </w:p>
    <w:p w14:paraId="2E86112E" w14:textId="24217882" w:rsidR="00620F82" w:rsidRPr="00620F82" w:rsidRDefault="00620F82" w:rsidP="00B761A7">
      <w:pPr>
        <w:rPr>
          <w:rFonts w:ascii="Arial" w:eastAsia="MS Mincho" w:hAnsi="Arial"/>
          <w:b/>
          <w:szCs w:val="24"/>
          <w:lang w:val="en-US" w:eastAsia="zh-TW"/>
        </w:rPr>
      </w:pPr>
      <w:r w:rsidRPr="00620F82">
        <w:rPr>
          <w:rFonts w:ascii="Arial" w:eastAsia="MS Mincho" w:hAnsi="Arial"/>
          <w:b/>
          <w:szCs w:val="24"/>
          <w:lang w:val="en-US" w:eastAsia="zh-TW"/>
        </w:rPr>
        <w:t>Proposal 2: The UE shall always report the full buffer status i.e., the total amount of both pre-processed and unprocessed data.</w:t>
      </w:r>
    </w:p>
    <w:p w14:paraId="39C65F5D" w14:textId="4758C00A" w:rsidR="00B761A7" w:rsidRDefault="00B761A7" w:rsidP="00B761A7">
      <w:pPr>
        <w:rPr>
          <w:rFonts w:ascii="Arial" w:eastAsia="MS Mincho" w:hAnsi="Arial"/>
          <w:szCs w:val="24"/>
          <w:lang w:val="en-US" w:eastAsia="zh-TW"/>
        </w:rPr>
      </w:pPr>
      <w:r>
        <w:rPr>
          <w:rFonts w:ascii="Arial" w:eastAsia="MS Mincho" w:hAnsi="Arial"/>
          <w:szCs w:val="24"/>
          <w:lang w:val="en-US" w:eastAsia="zh-TW"/>
        </w:rPr>
        <w:t>It is also possible to consider various additional enhancements to allow the gNB to better predict the amount of data that will be processed by the UE. We consider some enhancements below.</w:t>
      </w:r>
    </w:p>
    <w:p w14:paraId="2C0908F0" w14:textId="71A8980E" w:rsidR="00B761A7" w:rsidRDefault="00B761A7" w:rsidP="00B761A7">
      <w:pPr>
        <w:rPr>
          <w:rFonts w:ascii="Arial" w:eastAsia="MS Mincho" w:hAnsi="Arial"/>
          <w:szCs w:val="24"/>
          <w:lang w:val="en-US" w:eastAsia="zh-TW"/>
        </w:rPr>
      </w:pPr>
      <w:r>
        <w:rPr>
          <w:rFonts w:ascii="Arial" w:eastAsia="MS Mincho" w:hAnsi="Arial"/>
          <w:szCs w:val="24"/>
          <w:lang w:val="en-US" w:eastAsia="zh-TW"/>
        </w:rPr>
        <w:t>Option 1: The UE reports the amount of data it can pre-process per TTI. This information can be used by the gNB scheduler to determine how much UL grant to provide.</w:t>
      </w:r>
    </w:p>
    <w:p w14:paraId="1202B7B6" w14:textId="365CEADC" w:rsidR="00B761A7" w:rsidRDefault="00B761A7" w:rsidP="00B761A7">
      <w:pPr>
        <w:rPr>
          <w:rFonts w:ascii="Arial" w:eastAsia="MS Mincho" w:hAnsi="Arial"/>
          <w:szCs w:val="24"/>
          <w:lang w:val="en-US" w:eastAsia="zh-TW"/>
        </w:rPr>
      </w:pPr>
      <w:r>
        <w:rPr>
          <w:rFonts w:ascii="Arial" w:eastAsia="MS Mincho" w:hAnsi="Arial"/>
          <w:szCs w:val="24"/>
          <w:lang w:val="en-US" w:eastAsia="zh-TW"/>
        </w:rPr>
        <w:t xml:space="preserve">Option 2: The UE reports data that can be processed by time N+t1, where N corresponds to the subframe when the BSR was sent, and t1 is some </w:t>
      </w:r>
      <w:r w:rsidR="003C4D13">
        <w:rPr>
          <w:rFonts w:ascii="Arial" w:eastAsia="MS Mincho" w:hAnsi="Arial"/>
          <w:szCs w:val="24"/>
          <w:lang w:val="en-US" w:eastAsia="zh-TW"/>
        </w:rPr>
        <w:t>preconfigured duration (e.g., 1</w:t>
      </w:r>
      <w:r>
        <w:rPr>
          <w:rFonts w:ascii="Arial" w:eastAsia="MS Mincho" w:hAnsi="Arial"/>
          <w:szCs w:val="24"/>
          <w:lang w:val="en-US" w:eastAsia="zh-TW"/>
        </w:rPr>
        <w:t>ms or 2ms). Based on this information, the gNB can estimate the UE’s per TTI processing capability and schedule accordingly.</w:t>
      </w:r>
    </w:p>
    <w:p w14:paraId="74DCAAFE" w14:textId="77B6354B" w:rsidR="00B761A7" w:rsidRDefault="00B761A7" w:rsidP="00B761A7">
      <w:pPr>
        <w:rPr>
          <w:rFonts w:ascii="Arial" w:eastAsia="MS Mincho" w:hAnsi="Arial"/>
          <w:szCs w:val="24"/>
          <w:lang w:val="en-US" w:eastAsia="zh-TW"/>
        </w:rPr>
      </w:pPr>
      <w:r>
        <w:rPr>
          <w:rFonts w:ascii="Arial" w:eastAsia="MS Mincho" w:hAnsi="Arial"/>
          <w:szCs w:val="24"/>
          <w:lang w:val="en-US" w:eastAsia="zh-TW"/>
        </w:rPr>
        <w:lastRenderedPageBreak/>
        <w:t>Option 3: The UE reports the time (N+t2) when it expects to finish pre-processing of the reported unprocessed data.</w:t>
      </w:r>
    </w:p>
    <w:p w14:paraId="1B2F1145" w14:textId="78A3A4D6" w:rsidR="00B761A7" w:rsidRDefault="00B761A7" w:rsidP="00B761A7">
      <w:pPr>
        <w:rPr>
          <w:rFonts w:ascii="Arial" w:eastAsia="MS Mincho" w:hAnsi="Arial"/>
          <w:szCs w:val="24"/>
          <w:lang w:val="en-US" w:eastAsia="zh-TW"/>
        </w:rPr>
      </w:pPr>
      <w:r>
        <w:rPr>
          <w:rFonts w:ascii="Arial" w:eastAsia="MS Mincho" w:hAnsi="Arial"/>
          <w:szCs w:val="24"/>
          <w:lang w:val="en-US" w:eastAsia="zh-TW"/>
        </w:rPr>
        <w:t xml:space="preserve">We are not advocating any particular enhancement but to point out that the UE can provide additional information to assist in scheduling. In our view, just reporting the amount of unprocessed and preprocessed data may be sufficient from a scheduling point of view since the UE can </w:t>
      </w:r>
      <w:r w:rsidR="00620F82">
        <w:rPr>
          <w:rFonts w:ascii="Arial" w:eastAsia="MS Mincho" w:hAnsi="Arial"/>
          <w:szCs w:val="24"/>
          <w:lang w:val="en-US" w:eastAsia="zh-TW"/>
        </w:rPr>
        <w:t>anyways report multiple BSRs as needed.</w:t>
      </w:r>
    </w:p>
    <w:p w14:paraId="18EDDF7E" w14:textId="3FC99FAF" w:rsidR="00620F82" w:rsidRPr="00620F82" w:rsidRDefault="00620F82" w:rsidP="00B761A7">
      <w:pPr>
        <w:rPr>
          <w:rFonts w:ascii="Arial" w:eastAsia="MS Mincho" w:hAnsi="Arial"/>
          <w:b/>
          <w:szCs w:val="24"/>
          <w:lang w:val="en-US" w:eastAsia="zh-TW"/>
        </w:rPr>
      </w:pPr>
      <w:r w:rsidRPr="00620F82">
        <w:rPr>
          <w:rFonts w:ascii="Arial" w:eastAsia="MS Mincho" w:hAnsi="Arial"/>
          <w:b/>
          <w:szCs w:val="24"/>
          <w:lang w:val="en-US" w:eastAsia="zh-TW"/>
        </w:rPr>
        <w:t>Proposal 3: RAN2 is requested to discuss if additional enhancements to BSR is required to allow the gNB scheduler to better predict the UE’s buffer status.</w:t>
      </w:r>
    </w:p>
    <w:p w14:paraId="5FE10FEA" w14:textId="53A5CDF1" w:rsidR="00831885" w:rsidRPr="00F66B5C" w:rsidRDefault="006214DC" w:rsidP="00F66B5C">
      <w:pPr>
        <w:pStyle w:val="Heading1"/>
        <w:ind w:left="0" w:firstLine="0"/>
        <w:rPr>
          <w:lang w:val="en-US" w:eastAsia="ko-KR"/>
        </w:rPr>
      </w:pPr>
      <w:r>
        <w:rPr>
          <w:lang w:val="en-US" w:eastAsia="ko-KR"/>
        </w:rPr>
        <w:t>3</w:t>
      </w:r>
      <w:r w:rsidR="000C2A92">
        <w:rPr>
          <w:lang w:val="en-US" w:eastAsia="ko-KR"/>
        </w:rPr>
        <w:t xml:space="preserve"> Conclusions</w:t>
      </w:r>
      <w:r w:rsidR="00057F60">
        <w:rPr>
          <w:b/>
        </w:rPr>
        <w:tab/>
      </w:r>
    </w:p>
    <w:p w14:paraId="13E5DDD2" w14:textId="72241DAC" w:rsidR="00443A34" w:rsidRDefault="00FB6352" w:rsidP="00443A34">
      <w:pPr>
        <w:pStyle w:val="Doc-text2"/>
        <w:tabs>
          <w:tab w:val="left" w:pos="340"/>
        </w:tabs>
        <w:ind w:left="0" w:firstLine="0"/>
        <w:jc w:val="both"/>
        <w:rPr>
          <w:rFonts w:eastAsia="Times New Roman" w:cs="Arial"/>
          <w:bCs/>
        </w:rPr>
      </w:pPr>
      <w:r>
        <w:rPr>
          <w:rFonts w:eastAsia="Times New Roman" w:cs="Arial"/>
          <w:bCs/>
        </w:rPr>
        <w:t xml:space="preserve">In the paper, we provide </w:t>
      </w:r>
      <w:r w:rsidR="00F5767A">
        <w:rPr>
          <w:rFonts w:eastAsia="Times New Roman" w:cs="Arial"/>
          <w:bCs/>
        </w:rPr>
        <w:t>some views</w:t>
      </w:r>
      <w:r>
        <w:rPr>
          <w:rFonts w:eastAsia="Times New Roman" w:cs="Arial"/>
          <w:bCs/>
        </w:rPr>
        <w:t xml:space="preserve"> </w:t>
      </w:r>
      <w:r w:rsidR="00715D6B">
        <w:rPr>
          <w:rFonts w:eastAsia="Times New Roman" w:cs="Arial"/>
          <w:bCs/>
        </w:rPr>
        <w:t>on</w:t>
      </w:r>
      <w:r>
        <w:rPr>
          <w:rFonts w:eastAsia="Times New Roman" w:cs="Arial"/>
          <w:bCs/>
        </w:rPr>
        <w:t xml:space="preserve"> </w:t>
      </w:r>
      <w:r w:rsidR="00F5767A">
        <w:rPr>
          <w:rFonts w:eastAsia="Times New Roman" w:cs="Arial"/>
          <w:bCs/>
        </w:rPr>
        <w:t>BSR enhancements to support pre-processing in NR. Our observations and proposals are summarized below.</w:t>
      </w:r>
    </w:p>
    <w:p w14:paraId="747B8F10" w14:textId="77777777" w:rsidR="00443A34" w:rsidRDefault="00443A34" w:rsidP="00443A34">
      <w:pPr>
        <w:pStyle w:val="Doc-text2"/>
        <w:tabs>
          <w:tab w:val="left" w:pos="340"/>
        </w:tabs>
        <w:ind w:left="0" w:firstLine="0"/>
        <w:jc w:val="both"/>
        <w:rPr>
          <w:rFonts w:eastAsia="Times New Roman" w:cs="Arial"/>
          <w:b/>
          <w:bCs/>
        </w:rPr>
      </w:pPr>
    </w:p>
    <w:p w14:paraId="78AD8611" w14:textId="77777777" w:rsidR="00620F82" w:rsidRDefault="00620F82" w:rsidP="00620F82">
      <w:pPr>
        <w:rPr>
          <w:rFonts w:ascii="Arial" w:eastAsia="MS Mincho" w:hAnsi="Arial"/>
          <w:b/>
          <w:szCs w:val="24"/>
          <w:lang w:val="en-US" w:eastAsia="zh-TW"/>
        </w:rPr>
      </w:pPr>
      <w:r w:rsidRPr="00620F82">
        <w:rPr>
          <w:rFonts w:ascii="Arial" w:eastAsia="MS Mincho" w:hAnsi="Arial"/>
          <w:b/>
          <w:szCs w:val="24"/>
          <w:lang w:val="en-US" w:eastAsia="zh-TW"/>
        </w:rPr>
        <w:t>Observation 1: The problem of over-allocation of UL grants can be solved if the BSR contains the amount of pre-processed data that is available for transmission.</w:t>
      </w:r>
    </w:p>
    <w:p w14:paraId="184DD183" w14:textId="3BFFFEC2" w:rsidR="00620F82" w:rsidRDefault="00620F82" w:rsidP="00620F82">
      <w:pPr>
        <w:rPr>
          <w:rFonts w:ascii="Arial" w:eastAsia="MS Mincho" w:hAnsi="Arial"/>
          <w:b/>
          <w:szCs w:val="24"/>
          <w:lang w:val="en-US" w:eastAsia="zh-TW"/>
        </w:rPr>
      </w:pPr>
      <w:r w:rsidRPr="00620F82">
        <w:rPr>
          <w:rFonts w:ascii="Arial" w:eastAsia="MS Mincho" w:hAnsi="Arial"/>
          <w:b/>
          <w:szCs w:val="24"/>
          <w:lang w:val="en-US" w:eastAsia="zh-TW"/>
        </w:rPr>
        <w:t>Proposal 1: NR BSR should allow the UE to report the amount of both pre-processed and unprocessed data available for transmission.</w:t>
      </w:r>
    </w:p>
    <w:p w14:paraId="320B624C" w14:textId="5CC2A2C2" w:rsidR="00620F82" w:rsidRDefault="00620F82" w:rsidP="00620F82">
      <w:pPr>
        <w:rPr>
          <w:rFonts w:ascii="Arial" w:eastAsia="MS Mincho" w:hAnsi="Arial"/>
          <w:b/>
          <w:szCs w:val="24"/>
          <w:lang w:val="en-US" w:eastAsia="zh-TW"/>
        </w:rPr>
      </w:pPr>
      <w:r w:rsidRPr="00620F82">
        <w:rPr>
          <w:rFonts w:ascii="Arial" w:eastAsia="MS Mincho" w:hAnsi="Arial"/>
          <w:b/>
          <w:szCs w:val="24"/>
          <w:lang w:val="en-US" w:eastAsia="zh-TW"/>
        </w:rPr>
        <w:t>Proposal 2: The UE shall always report the full buffer status i.e., the total amount of both pre-processed and unprocessed data.</w:t>
      </w:r>
    </w:p>
    <w:p w14:paraId="390566F5" w14:textId="77777777" w:rsidR="00620F82" w:rsidRPr="00620F82" w:rsidRDefault="00620F82" w:rsidP="00620F82">
      <w:pPr>
        <w:rPr>
          <w:rFonts w:ascii="Arial" w:eastAsia="MS Mincho" w:hAnsi="Arial"/>
          <w:b/>
          <w:szCs w:val="24"/>
          <w:lang w:val="en-US" w:eastAsia="zh-TW"/>
        </w:rPr>
      </w:pPr>
      <w:r w:rsidRPr="00620F82">
        <w:rPr>
          <w:rFonts w:ascii="Arial" w:eastAsia="MS Mincho" w:hAnsi="Arial"/>
          <w:b/>
          <w:szCs w:val="24"/>
          <w:lang w:val="en-US" w:eastAsia="zh-TW"/>
        </w:rPr>
        <w:t>Proposal 3: RAN2 is requested to discuss if additional enhancements to BSR is required to allow the gNB scheduler to better predict the UE’s buffer status.</w:t>
      </w:r>
    </w:p>
    <w:p w14:paraId="118511B7" w14:textId="77777777" w:rsidR="00620F82" w:rsidRPr="00620F82" w:rsidRDefault="00620F82" w:rsidP="00620F82">
      <w:pPr>
        <w:rPr>
          <w:rFonts w:ascii="Arial" w:eastAsia="MS Mincho" w:hAnsi="Arial"/>
          <w:b/>
          <w:szCs w:val="24"/>
          <w:lang w:val="en-US" w:eastAsia="zh-TW"/>
        </w:rPr>
      </w:pPr>
    </w:p>
    <w:p w14:paraId="46FC695B" w14:textId="7ADF084E" w:rsidR="00251BB1" w:rsidRPr="004437E5" w:rsidRDefault="006214DC" w:rsidP="00F83897">
      <w:pPr>
        <w:pStyle w:val="Heading1"/>
        <w:pBdr>
          <w:top w:val="single" w:sz="12" w:space="0" w:color="auto"/>
        </w:pBdr>
        <w:rPr>
          <w:rFonts w:eastAsia="MS Mincho"/>
          <w:sz w:val="20"/>
          <w:szCs w:val="24"/>
          <w:lang w:val="en-US" w:eastAsia="zh-TW"/>
        </w:rPr>
      </w:pPr>
      <w:r>
        <w:rPr>
          <w:lang w:val="en-US" w:eastAsia="ko-KR"/>
        </w:rPr>
        <w:t>4</w:t>
      </w:r>
      <w:r w:rsidR="00EF622C">
        <w:rPr>
          <w:lang w:val="en-US" w:eastAsia="ko-KR"/>
        </w:rPr>
        <w:t xml:space="preserve"> References</w:t>
      </w:r>
      <w:r w:rsidR="00C90725" w:rsidRPr="00F83897">
        <w:rPr>
          <w:rFonts w:cs="Arial" w:hint="eastAsia"/>
          <w:sz w:val="20"/>
        </w:rPr>
        <w:t xml:space="preserve"> </w:t>
      </w:r>
    </w:p>
    <w:p w14:paraId="2113A258" w14:textId="54767B3B" w:rsidR="00CC4BC3" w:rsidRPr="004437E5" w:rsidRDefault="00620F82" w:rsidP="00620F82">
      <w:pPr>
        <w:pStyle w:val="ListParagraph"/>
        <w:numPr>
          <w:ilvl w:val="0"/>
          <w:numId w:val="21"/>
        </w:numPr>
        <w:rPr>
          <w:rFonts w:ascii="Arial" w:eastAsia="MS Mincho" w:hAnsi="Arial"/>
          <w:sz w:val="20"/>
          <w:szCs w:val="24"/>
          <w:lang w:val="en-US" w:eastAsia="zh-TW"/>
        </w:rPr>
      </w:pPr>
      <w:bookmarkStart w:id="3" w:name="_Ref485751627"/>
      <w:r w:rsidRPr="004437E5">
        <w:rPr>
          <w:rFonts w:ascii="Arial" w:eastAsia="MS Mincho" w:hAnsi="Arial"/>
          <w:sz w:val="20"/>
          <w:szCs w:val="24"/>
          <w:lang w:val="en-US" w:eastAsia="zh-TW"/>
        </w:rPr>
        <w:t>R2-1707263, BSR enhancements for UL pre-processing in single and dual connectivity</w:t>
      </w:r>
      <w:bookmarkEnd w:id="3"/>
      <w:r w:rsidR="0053307F" w:rsidRPr="004437E5">
        <w:rPr>
          <w:rFonts w:ascii="Arial" w:eastAsia="MS Mincho" w:hAnsi="Arial"/>
          <w:sz w:val="20"/>
          <w:szCs w:val="24"/>
          <w:lang w:val="en-US" w:eastAsia="zh-TW"/>
        </w:rPr>
        <w:t>, MediaTek Inc.</w:t>
      </w:r>
    </w:p>
    <w:sectPr w:rsidR="00CC4BC3" w:rsidRPr="004437E5"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11"/>
  </w:num>
  <w:num w:numId="4">
    <w:abstractNumId w:val="16"/>
  </w:num>
  <w:num w:numId="5">
    <w:abstractNumId w:val="8"/>
  </w:num>
  <w:num w:numId="6">
    <w:abstractNumId w:val="14"/>
  </w:num>
  <w:num w:numId="7">
    <w:abstractNumId w:val="15"/>
  </w:num>
  <w:num w:numId="8">
    <w:abstractNumId w:val="13"/>
  </w:num>
  <w:num w:numId="9">
    <w:abstractNumId w:val="2"/>
  </w:num>
  <w:num w:numId="10">
    <w:abstractNumId w:val="5"/>
  </w:num>
  <w:num w:numId="11">
    <w:abstractNumId w:val="17"/>
  </w:num>
  <w:num w:numId="12">
    <w:abstractNumId w:val="9"/>
  </w:num>
  <w:num w:numId="13">
    <w:abstractNumId w:val="1"/>
  </w:num>
  <w:num w:numId="14">
    <w:abstractNumId w:val="20"/>
  </w:num>
  <w:num w:numId="15">
    <w:abstractNumId w:val="4"/>
  </w:num>
  <w:num w:numId="16">
    <w:abstractNumId w:val="18"/>
  </w:num>
  <w:num w:numId="17">
    <w:abstractNumId w:val="6"/>
  </w:num>
  <w:num w:numId="18">
    <w:abstractNumId w:val="12"/>
  </w:num>
  <w:num w:numId="19">
    <w:abstractNumId w:val="10"/>
  </w:num>
  <w:num w:numId="20">
    <w:abstractNumId w:val="7"/>
  </w:num>
  <w:num w:numId="2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A7B"/>
    <w:rsid w:val="000E5012"/>
    <w:rsid w:val="000E576C"/>
    <w:rsid w:val="000E6C3D"/>
    <w:rsid w:val="000F0135"/>
    <w:rsid w:val="000F0675"/>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427F"/>
    <w:rsid w:val="00165CDA"/>
    <w:rsid w:val="0016728D"/>
    <w:rsid w:val="00167588"/>
    <w:rsid w:val="00167FC4"/>
    <w:rsid w:val="0017209C"/>
    <w:rsid w:val="00172F10"/>
    <w:rsid w:val="00173394"/>
    <w:rsid w:val="00175528"/>
    <w:rsid w:val="001757E5"/>
    <w:rsid w:val="00175C44"/>
    <w:rsid w:val="00176899"/>
    <w:rsid w:val="00176A06"/>
    <w:rsid w:val="00176D07"/>
    <w:rsid w:val="00177CD7"/>
    <w:rsid w:val="0018056E"/>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B7DA9"/>
    <w:rsid w:val="001C227D"/>
    <w:rsid w:val="001C319F"/>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3C14"/>
    <w:rsid w:val="00233C4E"/>
    <w:rsid w:val="00234605"/>
    <w:rsid w:val="00234912"/>
    <w:rsid w:val="00235CC1"/>
    <w:rsid w:val="00236310"/>
    <w:rsid w:val="00241187"/>
    <w:rsid w:val="002412AD"/>
    <w:rsid w:val="002422F3"/>
    <w:rsid w:val="00242C69"/>
    <w:rsid w:val="00243F66"/>
    <w:rsid w:val="002446BD"/>
    <w:rsid w:val="002460C7"/>
    <w:rsid w:val="00246EED"/>
    <w:rsid w:val="00250C5B"/>
    <w:rsid w:val="00250CCE"/>
    <w:rsid w:val="00251205"/>
    <w:rsid w:val="00251AF4"/>
    <w:rsid w:val="00251BB1"/>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888"/>
    <w:rsid w:val="00270C0F"/>
    <w:rsid w:val="00271063"/>
    <w:rsid w:val="00271C57"/>
    <w:rsid w:val="002733ED"/>
    <w:rsid w:val="0027462A"/>
    <w:rsid w:val="00274C15"/>
    <w:rsid w:val="00275390"/>
    <w:rsid w:val="002753F9"/>
    <w:rsid w:val="00275BF8"/>
    <w:rsid w:val="00275D12"/>
    <w:rsid w:val="00275FE8"/>
    <w:rsid w:val="0027604A"/>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77B7"/>
    <w:rsid w:val="002C7A7D"/>
    <w:rsid w:val="002D0B1F"/>
    <w:rsid w:val="002D0FF0"/>
    <w:rsid w:val="002D1E2C"/>
    <w:rsid w:val="002D2C83"/>
    <w:rsid w:val="002D3624"/>
    <w:rsid w:val="002D379A"/>
    <w:rsid w:val="002D37E8"/>
    <w:rsid w:val="002D4A64"/>
    <w:rsid w:val="002D7327"/>
    <w:rsid w:val="002D7A47"/>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297"/>
    <w:rsid w:val="0034475B"/>
    <w:rsid w:val="003452F0"/>
    <w:rsid w:val="0034739C"/>
    <w:rsid w:val="00347774"/>
    <w:rsid w:val="00350266"/>
    <w:rsid w:val="00351105"/>
    <w:rsid w:val="00352E0B"/>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48D"/>
    <w:rsid w:val="00425EC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474"/>
    <w:rsid w:val="00484643"/>
    <w:rsid w:val="004853AB"/>
    <w:rsid w:val="00485910"/>
    <w:rsid w:val="0048662C"/>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CCB"/>
    <w:rsid w:val="00610E88"/>
    <w:rsid w:val="006118D8"/>
    <w:rsid w:val="00612485"/>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CA2"/>
    <w:rsid w:val="006363F7"/>
    <w:rsid w:val="00636659"/>
    <w:rsid w:val="00636953"/>
    <w:rsid w:val="00636D53"/>
    <w:rsid w:val="0064005F"/>
    <w:rsid w:val="0064021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D82"/>
    <w:rsid w:val="00661084"/>
    <w:rsid w:val="00661721"/>
    <w:rsid w:val="00662440"/>
    <w:rsid w:val="00662ED6"/>
    <w:rsid w:val="0066329A"/>
    <w:rsid w:val="00663ADF"/>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722D"/>
    <w:rsid w:val="006B792B"/>
    <w:rsid w:val="006C05FB"/>
    <w:rsid w:val="006C0CDF"/>
    <w:rsid w:val="006C16C2"/>
    <w:rsid w:val="006C180E"/>
    <w:rsid w:val="006C2278"/>
    <w:rsid w:val="006C242E"/>
    <w:rsid w:val="006C2803"/>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6435"/>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D6B"/>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F59"/>
    <w:rsid w:val="00735FBD"/>
    <w:rsid w:val="00736607"/>
    <w:rsid w:val="00736E33"/>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3406"/>
    <w:rsid w:val="00753622"/>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7029E"/>
    <w:rsid w:val="007709E5"/>
    <w:rsid w:val="00771324"/>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78C"/>
    <w:rsid w:val="00824962"/>
    <w:rsid w:val="00824971"/>
    <w:rsid w:val="00824B3E"/>
    <w:rsid w:val="00824C9C"/>
    <w:rsid w:val="00825EFC"/>
    <w:rsid w:val="008265E8"/>
    <w:rsid w:val="00827B95"/>
    <w:rsid w:val="00827E4A"/>
    <w:rsid w:val="00830A62"/>
    <w:rsid w:val="00831885"/>
    <w:rsid w:val="00831A36"/>
    <w:rsid w:val="00831DCB"/>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6516"/>
    <w:rsid w:val="00857C37"/>
    <w:rsid w:val="00857D74"/>
    <w:rsid w:val="008617DE"/>
    <w:rsid w:val="00861C41"/>
    <w:rsid w:val="008626E7"/>
    <w:rsid w:val="00863E2B"/>
    <w:rsid w:val="00864B5D"/>
    <w:rsid w:val="00864C6C"/>
    <w:rsid w:val="008653BF"/>
    <w:rsid w:val="008653D7"/>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B9"/>
    <w:rsid w:val="008D2DD1"/>
    <w:rsid w:val="008D3515"/>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C79"/>
    <w:rsid w:val="0096730C"/>
    <w:rsid w:val="00967478"/>
    <w:rsid w:val="00967AC9"/>
    <w:rsid w:val="00970A15"/>
    <w:rsid w:val="00971F40"/>
    <w:rsid w:val="009729E8"/>
    <w:rsid w:val="00972E3C"/>
    <w:rsid w:val="00973412"/>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AEB"/>
    <w:rsid w:val="00992F4A"/>
    <w:rsid w:val="009931B9"/>
    <w:rsid w:val="009931F3"/>
    <w:rsid w:val="009936E6"/>
    <w:rsid w:val="00993C42"/>
    <w:rsid w:val="00993C90"/>
    <w:rsid w:val="00993F1B"/>
    <w:rsid w:val="0099441F"/>
    <w:rsid w:val="0099449B"/>
    <w:rsid w:val="00994F5F"/>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BA1"/>
    <w:rsid w:val="00A40DA0"/>
    <w:rsid w:val="00A41C32"/>
    <w:rsid w:val="00A41E7C"/>
    <w:rsid w:val="00A41EFE"/>
    <w:rsid w:val="00A458A9"/>
    <w:rsid w:val="00A47B29"/>
    <w:rsid w:val="00A47E70"/>
    <w:rsid w:val="00A505FA"/>
    <w:rsid w:val="00A50CFB"/>
    <w:rsid w:val="00A519F5"/>
    <w:rsid w:val="00A51A11"/>
    <w:rsid w:val="00A53C05"/>
    <w:rsid w:val="00A53D28"/>
    <w:rsid w:val="00A53EF7"/>
    <w:rsid w:val="00A540C6"/>
    <w:rsid w:val="00A54BED"/>
    <w:rsid w:val="00A5552C"/>
    <w:rsid w:val="00A55B59"/>
    <w:rsid w:val="00A562C3"/>
    <w:rsid w:val="00A5639D"/>
    <w:rsid w:val="00A57B4F"/>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1373"/>
    <w:rsid w:val="00AA1886"/>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A14"/>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443A"/>
    <w:rsid w:val="00B15317"/>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50C"/>
    <w:rsid w:val="00B61654"/>
    <w:rsid w:val="00B62009"/>
    <w:rsid w:val="00B6231A"/>
    <w:rsid w:val="00B62725"/>
    <w:rsid w:val="00B63156"/>
    <w:rsid w:val="00B63655"/>
    <w:rsid w:val="00B640A0"/>
    <w:rsid w:val="00B64799"/>
    <w:rsid w:val="00B64995"/>
    <w:rsid w:val="00B67776"/>
    <w:rsid w:val="00B702B5"/>
    <w:rsid w:val="00B70B8E"/>
    <w:rsid w:val="00B720A7"/>
    <w:rsid w:val="00B7268B"/>
    <w:rsid w:val="00B73271"/>
    <w:rsid w:val="00B7336C"/>
    <w:rsid w:val="00B74A7D"/>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1017A"/>
    <w:rsid w:val="00C1328C"/>
    <w:rsid w:val="00C13FA5"/>
    <w:rsid w:val="00C14477"/>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7024"/>
    <w:rsid w:val="00C6799C"/>
    <w:rsid w:val="00C70011"/>
    <w:rsid w:val="00C7071C"/>
    <w:rsid w:val="00C707DC"/>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D008B6"/>
    <w:rsid w:val="00D01458"/>
    <w:rsid w:val="00D0261A"/>
    <w:rsid w:val="00D0304E"/>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7CE"/>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C00A6"/>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4736"/>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E30"/>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2195"/>
    <w:rsid w:val="00F32BB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928</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2017-06-21T17:19:00Z</dcterms:created>
  <dcterms:modified xsi:type="dcterms:W3CDTF">2017-06-21T17:19:00Z</dcterms:modified>
</cp:coreProperties>
</file>